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58DD" w14:textId="6E83C14D" w:rsidR="00E86104" w:rsidRP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</w:p>
    <w:p w14:paraId="0074E81C" w14:textId="65B93303" w:rsidR="00E86104" w:rsidRPr="00E86104" w:rsidRDefault="00E54C22" w:rsidP="00E861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ID" w:eastAsia="en-ID"/>
          <w14:ligatures w14:val="none"/>
        </w:rPr>
      </w:pPr>
      <w:r w:rsidRPr="00E861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ID" w:eastAsia="en-ID"/>
          <w14:ligatures w14:val="none"/>
        </w:rPr>
        <w:t xml:space="preserve">DISRUPSI HIJAU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ID" w:eastAsia="en-ID"/>
          <w14:ligatures w14:val="none"/>
        </w:rPr>
        <w:t>DAN</w:t>
      </w:r>
      <w:r w:rsidRPr="00E861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ID" w:eastAsia="en-ID"/>
          <w14:ligatures w14:val="none"/>
        </w:rPr>
        <w:t xml:space="preserve"> LANSKAP EKONOMI NASIONAL</w:t>
      </w:r>
    </w:p>
    <w:p w14:paraId="7FF40217" w14:textId="03A5DA89" w:rsidR="00250929" w:rsidRDefault="00250929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063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r w:rsidR="00805FC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ID" w:eastAsia="en-ID"/>
          <w14:ligatures w14:val="none"/>
        </w:rPr>
        <w:drawing>
          <wp:inline distT="0" distB="0" distL="0" distR="0" wp14:anchorId="1AFE8176" wp14:editId="5A801883">
            <wp:extent cx="1943100" cy="20247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12249" r="7000" b="25751"/>
                    <a:stretch/>
                  </pic:blipFill>
                  <pic:spPr bwMode="auto">
                    <a:xfrm>
                      <a:off x="0" y="0"/>
                      <a:ext cx="1969236" cy="205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9AC27" w14:textId="6ADF439E" w:rsidR="00E86104" w:rsidRPr="000633AF" w:rsidRDefault="00330C2F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  <w:r w:rsidRPr="00330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Prof. Perdana Wahyu </w:t>
      </w:r>
      <w:proofErr w:type="spellStart"/>
      <w:r w:rsidRPr="00330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Santosa</w:t>
      </w:r>
      <w:proofErr w:type="spellEnd"/>
      <w:r w:rsidRPr="00330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, CRP, CSA, QWP</w:t>
      </w:r>
    </w:p>
    <w:p w14:paraId="13118CF3" w14:textId="77777777" w:rsidR="00E54C22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</w:pPr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Guru </w:t>
      </w:r>
      <w:proofErr w:type="spellStart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>Besar</w:t>
      </w:r>
      <w:proofErr w:type="spellEnd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 </w:t>
      </w:r>
      <w:proofErr w:type="spellStart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>Ekonomi</w:t>
      </w:r>
      <w:proofErr w:type="spellEnd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, </w:t>
      </w:r>
      <w:proofErr w:type="spellStart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>Dekan</w:t>
      </w:r>
      <w:proofErr w:type="spellEnd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 FEB </w:t>
      </w:r>
      <w:proofErr w:type="spellStart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>Universitas</w:t>
      </w:r>
      <w:proofErr w:type="spellEnd"/>
      <w:r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 YARSI dan </w:t>
      </w:r>
    </w:p>
    <w:p w14:paraId="058E4098" w14:textId="0CE6F354" w:rsidR="00E86104" w:rsidRPr="000633AF" w:rsidRDefault="00B877CD" w:rsidP="00E8610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>Direktur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>Riset</w:t>
      </w:r>
      <w:proofErr w:type="spellEnd"/>
      <w:r w:rsidR="00E86104" w:rsidRPr="000633AF">
        <w:rPr>
          <w:rFonts w:ascii="Times New Roman" w:eastAsia="Times New Roman" w:hAnsi="Times New Roman" w:cs="Times New Roman"/>
          <w:i/>
          <w:iCs/>
          <w:kern w:val="0"/>
          <w:lang w:val="en-ID" w:eastAsia="en-ID"/>
          <w14:ligatures w14:val="none"/>
        </w:rPr>
        <w:t xml:space="preserve"> GREAT Institute</w:t>
      </w:r>
    </w:p>
    <w:p w14:paraId="1FF93B23" w14:textId="037EAE29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bookmarkStart w:id="0" w:name="_GoBack"/>
      <w:bookmarkEnd w:id="0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br/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Fenomena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IPO </w:t>
      </w:r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Barito Renewables Energy (BREN)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2023–2024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hingga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mencapai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kapitalisasi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pasar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ratusan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triliun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rupiah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salah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tonggak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bersejarah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pasar modal Indonesia. Investor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berbondong-bondong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hingga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jajaran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top 5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emiten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Bursa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Efek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Indonesia.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Euforia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kisah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sukses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sebuah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perusahaan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melainkan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cermin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bagaimana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semakin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dipandang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sebagai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masa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depan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masyarakat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luas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adalah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simbol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bahwa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Indonesia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melahirkan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raksasa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”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dipercaya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global.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Namun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di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balik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euforia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tersebut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pertanyaan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bergema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apakah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IPO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benar-benar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menandai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transformasi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menuju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atau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mimpi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”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belum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terwujud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?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Disrupsi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tengah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mengetuk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pintu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apakah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="00753185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sudah</w:t>
      </w:r>
      <w:proofErr w:type="spellEnd"/>
      <w:r w:rsidR="00753185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siap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membukanya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?</w:t>
      </w:r>
    </w:p>
    <w:p w14:paraId="59051A31" w14:textId="77777777" w:rsid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</w:p>
    <w:p w14:paraId="3D897208" w14:textId="6A54F9EE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Potensi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Indonesia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sangat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Data Kementerian ESDM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menyebutkan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kapasitas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(EBT)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mencapai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400 GW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terutama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tenaga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surya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panas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hidro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Namun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sekitar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13 GW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berhasil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dimanfaatkan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artinya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terbuka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IPO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menunjukkan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investor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percaya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masa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depan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bahkan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ketika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global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tantangan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generasi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muda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wacana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teknis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melainkan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cita-cita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tentang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masa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depan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planet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layak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huni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Momen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ibarat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angin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segar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punya pasar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investor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siap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kebutuhan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makin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mendesak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otomatis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berubah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kekuatan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tanpa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kebijakan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konsisten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753185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dan</w:t>
      </w:r>
      <w:r w:rsidRPr="007531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 xml:space="preserve"> roadmap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jelas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Dunia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sedang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bergerak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cepat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—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terlambat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emas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direbut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oleh negara lain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gesit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seperti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Vietnam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atau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India.</w:t>
      </w:r>
    </w:p>
    <w:p w14:paraId="02FCB956" w14:textId="77777777" w:rsid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</w:p>
    <w:p w14:paraId="5C31B9CB" w14:textId="3B1BF883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Namun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jalan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menuju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pernah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mulus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Investasi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membutuhkan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biaya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awal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tinggi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Pembangkit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listrik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tenaga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surya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atau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angin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misalnya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butuh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infrastruktur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teknologi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penyimpanan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mahal.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Sementara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APBN Indonesia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apalagi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tekanan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subsidi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fosil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mencapai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ratusan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triliun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rupiah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setiap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tahun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Di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ketergantungan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bara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tinggi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60% </w:t>
      </w: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listrik</w:t>
      </w:r>
      <w:proofErr w:type="spellEnd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lastRenderedPageBreak/>
        <w:t>berbasis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bara.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Menutup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bara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terlalu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cepat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memicu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guncangan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fiskal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terutama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daerah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tambang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adalah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dilema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klasik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bagaimana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mengurangi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emisi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tanpa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mengorbankan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stabilitas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tenaga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kerja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Seperti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orang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ingin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diet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sehat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tergantung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makanan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instan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="00753185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dan </w:t>
      </w:r>
      <w:r w:rsidR="00753185" w:rsidRPr="007531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junk food</w:t>
      </w:r>
      <w:r w:rsidR="00753185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sehari-hari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—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mudah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diucapkan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sulit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dilakukan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2B95094" w14:textId="77777777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5C310F31" w14:textId="7E7CBF06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Risiko</w:t>
      </w:r>
      <w:proofErr w:type="spellEnd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ID" w:eastAsia="en-ID"/>
          <w14:ligatures w14:val="none"/>
        </w:rPr>
        <w:t>Greenwashing</w:t>
      </w:r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br/>
      </w:r>
    </w:p>
    <w:p w14:paraId="052BC481" w14:textId="6AE7DDB3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Ketika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populer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risiko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ID" w:eastAsia="en-ID"/>
          <w14:ligatures w14:val="none"/>
        </w:rPr>
        <w:t>greenwashing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ikut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membayangi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Banyak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perusahaan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berlomba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menyebut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ramah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lingkungan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”,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padahal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praktiknya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Investor global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sangat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sensitif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terhadap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isu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kepercayaan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mereka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runtuh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perusahaan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reputasi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pasar modal Indonesia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ikut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tercoreng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IPO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sejauh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mendapat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apresiasi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karena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portofolio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nyata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pengawasan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jangka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panjang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penting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Laporan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keberlanjutan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(sustainability report)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diaudit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standar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formalitas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Masyarakat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semakin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kritis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;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generasi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muda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media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cepat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sekali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membongkar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kepalsuan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”.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Artinya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keberhasilan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sektor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cukup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membangun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citra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dibuktikan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nyata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mengurangi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emisi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meningkatkan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kapasitas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EBT,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menutup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celah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ketergantungan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fosil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6AB6B64E" w14:textId="77777777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3D672D18" w14:textId="26C0C201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Dampak</w:t>
      </w:r>
      <w:proofErr w:type="spellEnd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r w:rsidR="003B0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dan </w:t>
      </w:r>
      <w:proofErr w:type="spellStart"/>
      <w:r w:rsidR="003B0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br/>
      </w:r>
    </w:p>
    <w:p w14:paraId="53735677" w14:textId="6120ABAE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berjalan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konsisten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dampaknya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luar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biasa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Pertumbuhan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lapangan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kerja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terbuka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teknisi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panel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surya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insinyur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turbin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angin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hingga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analis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ESG. McKinsey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memperkirakan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menciptakan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jutaan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pekerjaan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Asia Tenggara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dekade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Di Indonesia,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jawaban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masalah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pengangguran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muda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Selain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memperkuat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kemandirian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Kita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terlalu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bergantung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impor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BBM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menguras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devisa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Pasar modal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mendapat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manfaat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investor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institusi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global,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seperti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9076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sovereign wealth fund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dana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pensiun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semakin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tertarik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menanamkan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modal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proyek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IPO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awal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;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depan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melihat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“IPO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” lain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mengangkat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sektor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geothermal, hydropower,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atau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bahkan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hydrogen.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kata lain,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isu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lingkungan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membawa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Indonesia naik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kelas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67252D72" w14:textId="77777777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595E1BA8" w14:textId="7D5F6246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angka-angka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tentang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manusia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Di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daerah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penghasil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bara,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ribuan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pekerja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khawatir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kehilangan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pencaharian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dilakukan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tanpa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strategi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mereka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“korban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pembangunan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”. Di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sinilah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konsep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90769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ID" w:eastAsia="en-ID"/>
          <w14:ligatures w14:val="none"/>
        </w:rPr>
        <w:t>just transition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penting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memastikan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ramah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lingkungan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ramah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manusia</w:t>
      </w:r>
      <w:proofErr w:type="spellEnd"/>
      <w:r w:rsidR="0090769B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="0090769B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bahkan</w:t>
      </w:r>
      <w:proofErr w:type="spellEnd"/>
      <w:r w:rsidR="0090769B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="0090769B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Program reskilling dan upskilling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tenaga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kerja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tambang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dipercepat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agar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mereka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pindah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sektor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Pemerintah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perusahaan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universitas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perlu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bekerja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menyediakan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pendidikan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vokasi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Masyarakat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luas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perlu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dilibatkan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dalam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program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bersih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misalnya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lewat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panel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surya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atap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untuk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rumah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tangga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begitu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proyek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elit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melainkan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gerakan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bersama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tidak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dianggap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eksklusif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—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menguntungkan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investor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sementara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rakyat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kecil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merasa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ditinggalkan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5F670C5E" w14:textId="77777777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52C6F9FE" w14:textId="77777777" w:rsidR="00330C2F" w:rsidRDefault="00330C2F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62816209" w14:textId="7F3942DC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lastRenderedPageBreak/>
        <w:t>Rekomendasi</w:t>
      </w:r>
      <w:proofErr w:type="spellEnd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Strategis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br/>
      </w:r>
    </w:p>
    <w:p w14:paraId="6AB9AF62" w14:textId="240EFFB3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beberapa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langkah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strategis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perlu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segera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ditempuh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907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Pertama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pemerintah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menyusun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roadmap </w:t>
      </w: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realistis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konsisten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target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jangka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pendek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menengah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panjang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jelas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907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Kedua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="004C7286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melalui</w:t>
      </w:r>
      <w:proofErr w:type="spellEnd"/>
      <w:r w:rsidR="004C7286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Menteri </w:t>
      </w:r>
      <w:proofErr w:type="spellStart"/>
      <w:r w:rsidR="004C7286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Keuangan</w:t>
      </w:r>
      <w:proofErr w:type="spellEnd"/>
      <w:r w:rsidR="004C7286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="004C7286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="004C7286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insentif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fiskal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non-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fiskal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perlu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diperkuat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r w:rsidRPr="004C728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tax holiday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akses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pembiayaan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murah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r w:rsidRPr="009076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ID" w:eastAsia="en-ID"/>
          <w14:ligatures w14:val="none"/>
        </w:rPr>
        <w:t>feed-in tariff</w:t>
      </w: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menarik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serta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pasar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karbon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domestik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likuid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907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Ketiga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transparansi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dijaga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laporan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ESG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wajib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diaudit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dipublikasikan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standar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global. </w:t>
      </w:r>
      <w:proofErr w:type="spellStart"/>
      <w:r w:rsidRPr="009076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Keempat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kolaborasi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diperluas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baik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negara ASEAN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maupun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mitra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G20,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untuk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transfer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teknologi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investasi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Kelima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pendekatan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dilupakan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—program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pekerja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fosil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masuk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prioritas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sukses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dilihat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sebagai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proyek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juga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sebagai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gerakan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keadilan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sosial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strategi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seperti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IPO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pemicu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perubahan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nyata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fenomena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sesaat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542556F9" w14:textId="77777777" w:rsidR="004C7286" w:rsidRDefault="004C7286" w:rsidP="00E861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</w:pPr>
    </w:p>
    <w:p w14:paraId="0A2DC9A2" w14:textId="5F65817C" w:rsid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E86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D" w:eastAsia="en-ID"/>
          <w14:ligatures w14:val="none"/>
        </w:rPr>
        <w:t>Penutup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br/>
      </w:r>
    </w:p>
    <w:p w14:paraId="007FC98D" w14:textId="189AEAC8" w:rsidR="00E86104" w:rsidRPr="00E86104" w:rsidRDefault="00E86104" w:rsidP="00E861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IPO BREN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memberi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sinyal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kuat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bahwa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isu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pinggiran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melainkan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arus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utama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nasional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Namun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euforia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pasar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hanya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berarti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diikuti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implementasi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kebijakan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konsisten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transparan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berpihak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rakyat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Indonesia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memiliki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untuk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memimpin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kawasan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peluang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itu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datang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bersama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risiko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besar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Tanpa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keberanian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konsistensi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strategi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menyeluruh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disrupsi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berubah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slogan.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Sebaliknya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jika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kita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mampu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menjadikannya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momentum,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energi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terbarukan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bisa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menjadi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mesin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pertumbuhan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baru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adil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berkelanjutan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menyejahterakan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semua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pihak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Inilah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saatnya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Indonesia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membuktikan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bahwa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transisi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hijau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bukan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sekadar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“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tren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investor”,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melainkan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jalan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strategis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menuju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masa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depan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lebih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cerah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—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bagi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ekonomi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lingkungan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dan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generasi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akan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datang</w:t>
      </w:r>
      <w:proofErr w:type="spellEnd"/>
      <w:r w:rsidRPr="00E8610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4163D102" w14:textId="00E7F37D" w:rsidR="00E86104" w:rsidRPr="00E86104" w:rsidRDefault="00E86104" w:rsidP="00E861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</w:p>
    <w:p w14:paraId="7BDF623F" w14:textId="77777777" w:rsidR="00A43D91" w:rsidRDefault="00A43D91"/>
    <w:sectPr w:rsidR="00A43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04"/>
    <w:rsid w:val="001E6A64"/>
    <w:rsid w:val="00250929"/>
    <w:rsid w:val="0029615B"/>
    <w:rsid w:val="002F19FA"/>
    <w:rsid w:val="003109B5"/>
    <w:rsid w:val="00330C2F"/>
    <w:rsid w:val="003B0E02"/>
    <w:rsid w:val="004074C1"/>
    <w:rsid w:val="0048726A"/>
    <w:rsid w:val="004C7286"/>
    <w:rsid w:val="00707E2B"/>
    <w:rsid w:val="00753185"/>
    <w:rsid w:val="00805FC2"/>
    <w:rsid w:val="0090769B"/>
    <w:rsid w:val="00A43D91"/>
    <w:rsid w:val="00B010F1"/>
    <w:rsid w:val="00B253BF"/>
    <w:rsid w:val="00B25C71"/>
    <w:rsid w:val="00B877CD"/>
    <w:rsid w:val="00E54C22"/>
    <w:rsid w:val="00E86104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0E1D8"/>
  <w15:chartTrackingRefBased/>
  <w15:docId w15:val="{E92E8537-38F9-42FF-A227-3400CE94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1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0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</dc:creator>
  <cp:keywords/>
  <dc:description/>
  <cp:lastModifiedBy>User</cp:lastModifiedBy>
  <cp:revision>5</cp:revision>
  <dcterms:created xsi:type="dcterms:W3CDTF">2025-10-10T06:32:00Z</dcterms:created>
  <dcterms:modified xsi:type="dcterms:W3CDTF">2025-10-10T06:36:00Z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2b4461f7-a2b8-482b-afb8-491ecef40fd1</vt:lpwstr>
  </property>
</Properties>
</file>